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BC" w:rsidRPr="005F29BC" w:rsidRDefault="005F29BC" w:rsidP="005F29BC">
      <w:pPr>
        <w:shd w:val="clear" w:color="auto" w:fill="FFFFFF"/>
        <w:spacing w:after="0" w:line="240" w:lineRule="auto"/>
        <w:jc w:val="center"/>
        <w:rPr>
          <w:rFonts w:ascii="Times New Roman" w:eastAsia="Times New Roman" w:hAnsi="Times New Roman" w:cs="Times New Roman"/>
          <w:color w:val="000000"/>
          <w:sz w:val="27"/>
          <w:szCs w:val="27"/>
          <w:lang w:val="fr-FR" w:eastAsia="fr-FR"/>
        </w:rPr>
      </w:pPr>
    </w:p>
    <w:tbl>
      <w:tblPr>
        <w:tblW w:w="3000" w:type="pct"/>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434"/>
      </w:tblGrid>
      <w:tr w:rsidR="005F29BC" w:rsidRPr="005F29BC" w:rsidTr="005F29BC">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5F29BC" w:rsidRPr="005F29BC" w:rsidRDefault="005F29BC" w:rsidP="005F29BC">
            <w:pPr>
              <w:spacing w:before="100" w:beforeAutospacing="1" w:after="100" w:afterAutospacing="1" w:line="240" w:lineRule="auto"/>
              <w:jc w:val="center"/>
              <w:rPr>
                <w:rFonts w:ascii="Verdana" w:eastAsia="Times New Roman" w:hAnsi="Verdana" w:cs="Times New Roman"/>
                <w:b/>
                <w:bCs/>
                <w:color w:val="000099"/>
                <w:sz w:val="24"/>
                <w:szCs w:val="24"/>
                <w:lang w:val="fr-FR" w:eastAsia="fr-FR"/>
              </w:rPr>
            </w:pPr>
            <w:r w:rsidRPr="005F29BC">
              <w:rPr>
                <w:rFonts w:ascii="Verdana" w:eastAsia="Times New Roman" w:hAnsi="Verdana" w:cs="Times New Roman"/>
                <w:b/>
                <w:bCs/>
                <w:color w:val="000099"/>
                <w:sz w:val="24"/>
                <w:szCs w:val="24"/>
                <w:lang w:val="fr-FR" w:eastAsia="fr-FR"/>
              </w:rPr>
              <w:t>A : Sciences du vivant, de la terre et de l'environnement</w:t>
            </w:r>
          </w:p>
          <w:p w:rsidR="005F29BC" w:rsidRPr="005F29BC" w:rsidRDefault="005F29BC" w:rsidP="005F29BC">
            <w:pPr>
              <w:spacing w:before="100" w:beforeAutospacing="1" w:after="100" w:afterAutospacing="1" w:line="240" w:lineRule="auto"/>
              <w:jc w:val="center"/>
              <w:rPr>
                <w:rFonts w:ascii="Verdana" w:eastAsia="Times New Roman" w:hAnsi="Verdana" w:cs="Times New Roman"/>
                <w:b/>
                <w:bCs/>
                <w:color w:val="000099"/>
                <w:sz w:val="24"/>
                <w:szCs w:val="24"/>
                <w:lang w:val="fr-FR" w:eastAsia="fr-FR"/>
              </w:rPr>
            </w:pPr>
            <w:r w:rsidRPr="005F29BC">
              <w:rPr>
                <w:rFonts w:ascii="Verdana" w:eastAsia="Times New Roman" w:hAnsi="Verdana" w:cs="Times New Roman"/>
                <w:b/>
                <w:bCs/>
                <w:color w:val="000099"/>
                <w:sz w:val="24"/>
                <w:szCs w:val="24"/>
                <w:lang w:val="fr-FR" w:eastAsia="fr-FR"/>
              </w:rPr>
              <w:t>Ingénieur d'études</w:t>
            </w:r>
          </w:p>
          <w:p w:rsidR="005F29BC" w:rsidRPr="005F29BC" w:rsidRDefault="005F29BC" w:rsidP="005F29BC">
            <w:pPr>
              <w:spacing w:before="100" w:beforeAutospacing="1" w:after="100" w:afterAutospacing="1" w:line="240" w:lineRule="auto"/>
              <w:jc w:val="center"/>
              <w:rPr>
                <w:rFonts w:ascii="Verdana" w:eastAsia="Times New Roman" w:hAnsi="Verdana" w:cs="Times New Roman"/>
                <w:b/>
                <w:bCs/>
                <w:color w:val="000099"/>
                <w:sz w:val="24"/>
                <w:szCs w:val="24"/>
                <w:lang w:val="fr-FR" w:eastAsia="fr-FR"/>
              </w:rPr>
            </w:pPr>
            <w:r w:rsidRPr="005F29BC">
              <w:rPr>
                <w:rFonts w:ascii="Verdana" w:eastAsia="Times New Roman" w:hAnsi="Verdana" w:cs="Times New Roman"/>
                <w:b/>
                <w:bCs/>
                <w:color w:val="000099"/>
                <w:sz w:val="24"/>
                <w:szCs w:val="24"/>
                <w:lang w:val="fr-FR" w:eastAsia="fr-FR"/>
              </w:rPr>
              <w:t>Concours N° 66</w:t>
            </w:r>
          </w:p>
        </w:tc>
      </w:tr>
    </w:tbl>
    <w:p w:rsidR="005F29BC" w:rsidRPr="005F29BC" w:rsidRDefault="005F29BC" w:rsidP="005F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5F29BC">
        <w:rPr>
          <w:rFonts w:ascii="Times New Roman" w:eastAsia="Times New Roman" w:hAnsi="Times New Roman" w:cs="Times New Roman"/>
          <w:color w:val="000000"/>
          <w:sz w:val="27"/>
          <w:szCs w:val="27"/>
          <w:lang w:val="fr-FR" w:eastAsia="fr-FR"/>
        </w:rPr>
        <w:t> </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814"/>
        <w:gridCol w:w="7258"/>
      </w:tblGrid>
      <w:tr w:rsidR="005F29BC" w:rsidRPr="005F29BC" w:rsidTr="005F29BC">
        <w:trPr>
          <w:trHeight w:val="300"/>
          <w:tblCellSpacing w:w="0" w:type="dxa"/>
        </w:trPr>
        <w:tc>
          <w:tcPr>
            <w:tcW w:w="10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b/>
                <w:bCs/>
                <w:sz w:val="18"/>
                <w:szCs w:val="18"/>
                <w:lang w:val="fr-FR" w:eastAsia="fr-FR"/>
              </w:rPr>
              <w:t>Nbre de postes :</w:t>
            </w:r>
          </w:p>
        </w:tc>
        <w:tc>
          <w:tcPr>
            <w:tcW w:w="40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1</w:t>
            </w:r>
          </w:p>
        </w:tc>
      </w:tr>
      <w:tr w:rsidR="005F29BC" w:rsidRPr="005F29BC" w:rsidTr="005F29BC">
        <w:trPr>
          <w:trHeight w:val="300"/>
          <w:tblCellSpacing w:w="0" w:type="dxa"/>
        </w:trPr>
        <w:tc>
          <w:tcPr>
            <w:tcW w:w="10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b/>
                <w:bCs/>
                <w:sz w:val="18"/>
                <w:szCs w:val="18"/>
                <w:lang w:val="fr-FR" w:eastAsia="fr-FR"/>
              </w:rPr>
              <w:t>Emploi-type :</w:t>
            </w:r>
          </w:p>
        </w:tc>
        <w:tc>
          <w:tcPr>
            <w:tcW w:w="40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Ingénieur-e en techniques biologiques</w:t>
            </w:r>
          </w:p>
        </w:tc>
      </w:tr>
    </w:tbl>
    <w:p w:rsidR="005F29BC" w:rsidRPr="005F29BC" w:rsidRDefault="005F29BC" w:rsidP="005F29BC">
      <w:pPr>
        <w:spacing w:after="0" w:line="240" w:lineRule="auto"/>
        <w:rPr>
          <w:rFonts w:ascii="Times New Roman" w:eastAsia="Times New Roman" w:hAnsi="Times New Roman" w:cs="Times New Roman"/>
          <w:sz w:val="24"/>
          <w:szCs w:val="24"/>
          <w:lang w:val="fr-FR" w:eastAsia="fr-FR"/>
        </w:rPr>
      </w:pPr>
      <w:r w:rsidRPr="005F29BC">
        <w:rPr>
          <w:rFonts w:ascii="Times New Roman" w:eastAsia="Times New Roman" w:hAnsi="Times New Roman" w:cs="Times New Roman"/>
          <w:color w:val="000000"/>
          <w:sz w:val="27"/>
          <w:szCs w:val="27"/>
          <w:lang w:val="fr-FR" w:eastAsia="fr-FR"/>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1"/>
        <w:gridCol w:w="7231"/>
      </w:tblGrid>
      <w:tr w:rsidR="005F29BC" w:rsidRPr="005F29BC" w:rsidTr="005F29BC">
        <w:trPr>
          <w:trHeight w:val="300"/>
          <w:tblCellSpacing w:w="15" w:type="dxa"/>
        </w:trPr>
        <w:tc>
          <w:tcPr>
            <w:tcW w:w="10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b/>
                <w:bCs/>
                <w:sz w:val="18"/>
                <w:szCs w:val="18"/>
                <w:lang w:val="fr-FR" w:eastAsia="fr-FR"/>
              </w:rPr>
              <w:t>Affectation :</w:t>
            </w:r>
          </w:p>
        </w:tc>
        <w:tc>
          <w:tcPr>
            <w:tcW w:w="40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Institut Jacques Monod, PARIS 13</w:t>
            </w:r>
          </w:p>
        </w:tc>
      </w:tr>
      <w:tr w:rsidR="005F29BC" w:rsidRPr="005F29BC" w:rsidTr="005F29BC">
        <w:trPr>
          <w:trHeight w:val="300"/>
          <w:tblCellSpacing w:w="15" w:type="dxa"/>
        </w:trPr>
        <w:tc>
          <w:tcPr>
            <w:tcW w:w="10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b/>
                <w:bCs/>
                <w:sz w:val="18"/>
                <w:szCs w:val="18"/>
                <w:lang w:val="fr-FR" w:eastAsia="fr-FR"/>
              </w:rPr>
              <w:t>Groupe de fonction :</w:t>
            </w:r>
          </w:p>
        </w:tc>
        <w:tc>
          <w:tcPr>
            <w:tcW w:w="40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Groupe 3</w:t>
            </w:r>
          </w:p>
        </w:tc>
      </w:tr>
    </w:tbl>
    <w:p w:rsidR="005F29BC" w:rsidRPr="005F29BC" w:rsidRDefault="005F29BC" w:rsidP="005F29BC">
      <w:pPr>
        <w:spacing w:after="0" w:line="240" w:lineRule="auto"/>
        <w:rPr>
          <w:rFonts w:ascii="Times New Roman" w:eastAsia="Times New Roman" w:hAnsi="Times New Roman" w:cs="Times New Roman"/>
          <w:sz w:val="24"/>
          <w:szCs w:val="24"/>
          <w:lang w:val="fr-FR" w:eastAsia="fr-FR"/>
        </w:rPr>
      </w:pPr>
      <w:r w:rsidRPr="005F29BC">
        <w:rPr>
          <w:rFonts w:ascii="Times New Roman" w:eastAsia="Times New Roman" w:hAnsi="Times New Roman" w:cs="Times New Roman"/>
          <w:color w:val="000000"/>
          <w:sz w:val="27"/>
          <w:szCs w:val="27"/>
          <w:lang w:val="fr-FR" w:eastAsia="fr-FR"/>
        </w:rPr>
        <w:br/>
      </w:r>
    </w:p>
    <w:p w:rsidR="005F29BC" w:rsidRPr="005F29BC" w:rsidRDefault="005F29BC" w:rsidP="005F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5F29BC">
        <w:rPr>
          <w:rFonts w:ascii="Times New Roman" w:eastAsia="Times New Roman" w:hAnsi="Times New Roman" w:cs="Times New Roman"/>
          <w:color w:val="000000"/>
          <w:sz w:val="27"/>
          <w:szCs w:val="27"/>
          <w:lang w:val="fr-FR" w:eastAsia="fr-F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7"/>
        <w:gridCol w:w="6395"/>
      </w:tblGrid>
      <w:tr w:rsidR="005F29BC" w:rsidRPr="005F29BC" w:rsidTr="005F29BC">
        <w:trPr>
          <w:trHeight w:val="12"/>
          <w:tblCellSpacing w:w="15" w:type="dxa"/>
        </w:trPr>
        <w:tc>
          <w:tcPr>
            <w:tcW w:w="145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bookmarkStart w:id="0" w:name="mission"/>
            <w:r w:rsidRPr="005F29BC">
              <w:rPr>
                <w:rFonts w:ascii="Verdana" w:eastAsia="Times New Roman" w:hAnsi="Verdana" w:cs="Times New Roman"/>
                <w:b/>
                <w:bCs/>
                <w:sz w:val="18"/>
                <w:szCs w:val="18"/>
                <w:lang w:val="fr-FR" w:eastAsia="fr-FR"/>
              </w:rPr>
              <w:t>Mission :</w:t>
            </w:r>
            <w:bookmarkEnd w:id="0"/>
          </w:p>
        </w:tc>
        <w:tc>
          <w:tcPr>
            <w:tcW w:w="35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 </w:t>
            </w:r>
          </w:p>
        </w:tc>
      </w:tr>
      <w:tr w:rsidR="005F29BC" w:rsidRPr="005F29BC" w:rsidTr="005F29BC">
        <w:trPr>
          <w:tblCellSpacing w:w="15" w:type="dxa"/>
        </w:trPr>
        <w:tc>
          <w:tcPr>
            <w:tcW w:w="0" w:type="auto"/>
            <w:gridSpan w:val="2"/>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L'ingénieur(e) conduira l'activité de cytométrie en flux de la plate-forme ImagoSeine de l'Institut Jacques Monod (IJM), UMR 7592 CNRS-Université de Paris. Il/elle aura pour mission de répondre aux besoins en cytométrie en flux et en imagerie en flux des équipes de recherches de l'Institut, mais aussi de la communauté scientifique environnante publique et privée, par des activités de prestation et de recherche et développement en utilisant les équipements de la plateforme. Il/elle aura aussi une mission d'encadrement et de formation.</w:t>
            </w:r>
          </w:p>
        </w:tc>
      </w:tr>
    </w:tbl>
    <w:p w:rsidR="005F29BC" w:rsidRPr="005F29BC" w:rsidRDefault="005F29BC" w:rsidP="005F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5F29BC">
        <w:rPr>
          <w:rFonts w:ascii="Times New Roman" w:eastAsia="Times New Roman" w:hAnsi="Times New Roman" w:cs="Times New Roman"/>
          <w:color w:val="000000"/>
          <w:sz w:val="27"/>
          <w:szCs w:val="27"/>
          <w:lang w:val="fr-FR" w:eastAsia="fr-F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7"/>
        <w:gridCol w:w="6395"/>
      </w:tblGrid>
      <w:tr w:rsidR="005F29BC" w:rsidRPr="005F29BC" w:rsidTr="005F29BC">
        <w:trPr>
          <w:trHeight w:val="12"/>
          <w:tblCellSpacing w:w="15" w:type="dxa"/>
        </w:trPr>
        <w:tc>
          <w:tcPr>
            <w:tcW w:w="145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bookmarkStart w:id="1" w:name="activites"/>
            <w:r w:rsidRPr="005F29BC">
              <w:rPr>
                <w:rFonts w:ascii="Verdana" w:eastAsia="Times New Roman" w:hAnsi="Verdana" w:cs="Times New Roman"/>
                <w:b/>
                <w:bCs/>
                <w:sz w:val="18"/>
                <w:szCs w:val="18"/>
                <w:lang w:val="fr-FR" w:eastAsia="fr-FR"/>
              </w:rPr>
              <w:t>Activités :</w:t>
            </w:r>
            <w:bookmarkEnd w:id="1"/>
          </w:p>
        </w:tc>
        <w:tc>
          <w:tcPr>
            <w:tcW w:w="35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 </w:t>
            </w:r>
          </w:p>
        </w:tc>
      </w:tr>
      <w:tr w:rsidR="005F29BC" w:rsidRPr="005F29BC" w:rsidTr="005F29BC">
        <w:trPr>
          <w:tblCellSpacing w:w="15" w:type="dxa"/>
        </w:trPr>
        <w:tc>
          <w:tcPr>
            <w:tcW w:w="0" w:type="auto"/>
            <w:gridSpan w:val="2"/>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-Accueillir et conseiller en amont les expérimentateurs, planifier leurs expériences sur les différents instruments ;</w:t>
            </w:r>
            <w:r w:rsidRPr="005F29BC">
              <w:rPr>
                <w:rFonts w:ascii="Verdana" w:eastAsia="Times New Roman" w:hAnsi="Verdana" w:cs="Times New Roman"/>
                <w:sz w:val="18"/>
                <w:szCs w:val="18"/>
                <w:lang w:val="fr-FR" w:eastAsia="fr-FR"/>
              </w:rPr>
              <w:br/>
              <w:t>- Développer et mettre en œuvre divers protocoles de cytométrie en flux et d'imagerie en flux, en coordination avec le responsable scientifique du projet pour différents domaines d'application, dont la biologie cellulaire animale et végétale, le cycle cellulaire, l'apoptose, les cellules souches, la microbiologie, l'immunologie ;</w:t>
            </w:r>
            <w:r w:rsidRPr="005F29BC">
              <w:rPr>
                <w:rFonts w:ascii="Verdana" w:eastAsia="Times New Roman" w:hAnsi="Verdana" w:cs="Times New Roman"/>
                <w:sz w:val="18"/>
                <w:szCs w:val="18"/>
                <w:lang w:val="fr-FR" w:eastAsia="fr-FR"/>
              </w:rPr>
              <w:br/>
              <w:t>- Interpréter les résultats en vue de leur exploitation ou publication ;</w:t>
            </w:r>
            <w:r w:rsidRPr="005F29BC">
              <w:rPr>
                <w:rFonts w:ascii="Verdana" w:eastAsia="Times New Roman" w:hAnsi="Verdana" w:cs="Times New Roman"/>
                <w:sz w:val="18"/>
                <w:szCs w:val="18"/>
                <w:lang w:val="fr-FR" w:eastAsia="fr-FR"/>
              </w:rPr>
              <w:br/>
              <w:t>- Assurer la formation des utilisateurs ;</w:t>
            </w:r>
            <w:r w:rsidRPr="005F29BC">
              <w:rPr>
                <w:rFonts w:ascii="Verdana" w:eastAsia="Times New Roman" w:hAnsi="Verdana" w:cs="Times New Roman"/>
                <w:sz w:val="18"/>
                <w:szCs w:val="18"/>
                <w:lang w:val="fr-FR" w:eastAsia="fr-FR"/>
              </w:rPr>
              <w:br/>
              <w:t>- Veiller au respect de la qualité des mesures et résultats (démarche "qualité-recherche") ;</w:t>
            </w:r>
            <w:r w:rsidRPr="005F29BC">
              <w:rPr>
                <w:rFonts w:ascii="Verdana" w:eastAsia="Times New Roman" w:hAnsi="Verdana" w:cs="Times New Roman"/>
                <w:sz w:val="18"/>
                <w:szCs w:val="18"/>
                <w:lang w:val="fr-FR" w:eastAsia="fr-FR"/>
              </w:rPr>
              <w:br/>
              <w:t>- Assurer une veille scientifique et technologique ;</w:t>
            </w:r>
            <w:r w:rsidRPr="005F29BC">
              <w:rPr>
                <w:rFonts w:ascii="Verdana" w:eastAsia="Times New Roman" w:hAnsi="Verdana" w:cs="Times New Roman"/>
                <w:sz w:val="18"/>
                <w:szCs w:val="18"/>
                <w:lang w:val="fr-FR" w:eastAsia="fr-FR"/>
              </w:rPr>
              <w:br/>
              <w:t>- Gérer le parc d'instruments ;</w:t>
            </w:r>
            <w:r w:rsidRPr="005F29BC">
              <w:rPr>
                <w:rFonts w:ascii="Verdana" w:eastAsia="Times New Roman" w:hAnsi="Verdana" w:cs="Times New Roman"/>
                <w:sz w:val="18"/>
                <w:szCs w:val="18"/>
                <w:lang w:val="fr-FR" w:eastAsia="fr-FR"/>
              </w:rPr>
              <w:br/>
              <w:t>- Contribuer aux différents rapports d'activités demandés par le responsable scientifique, la direction de l'Institut et ses tutelles.</w:t>
            </w:r>
            <w:r w:rsidRPr="005F29BC">
              <w:rPr>
                <w:rFonts w:ascii="Verdana" w:eastAsia="Times New Roman" w:hAnsi="Verdana" w:cs="Times New Roman"/>
                <w:sz w:val="18"/>
                <w:szCs w:val="18"/>
                <w:lang w:val="fr-FR" w:eastAsia="fr-FR"/>
              </w:rPr>
              <w:br/>
              <w:t>- Veiller à l'entretien, la maintenance et le bon fonctionnement des appareils, à la réalisation des tests de contrôle de performance et à la rédaction des notes techniques sur les différents systèmes et approches expérimentales ainsi que des modes d'emploi ;</w:t>
            </w:r>
            <w:r w:rsidRPr="005F29BC">
              <w:rPr>
                <w:rFonts w:ascii="Verdana" w:eastAsia="Times New Roman" w:hAnsi="Verdana" w:cs="Times New Roman"/>
                <w:sz w:val="18"/>
                <w:szCs w:val="18"/>
                <w:lang w:val="fr-FR" w:eastAsia="fr-FR"/>
              </w:rPr>
              <w:br/>
              <w:t>- Appliquer et faire appliquer le règlement de l'utilisation du plateau technique et les règles d'hygiène et sécurité ;</w:t>
            </w:r>
            <w:r w:rsidRPr="005F29BC">
              <w:rPr>
                <w:rFonts w:ascii="Verdana" w:eastAsia="Times New Roman" w:hAnsi="Verdana" w:cs="Times New Roman"/>
                <w:sz w:val="18"/>
                <w:szCs w:val="18"/>
                <w:lang w:val="fr-FR" w:eastAsia="fr-FR"/>
              </w:rPr>
              <w:br/>
              <w:t>- Éditer mensuellement les relevés de prestation, assurer le suivi des recettes, en coordination avec le service gestion &amp; Finance de l'Institut.</w:t>
            </w:r>
            <w:r w:rsidRPr="005F29BC">
              <w:rPr>
                <w:rFonts w:ascii="Verdana" w:eastAsia="Times New Roman" w:hAnsi="Verdana" w:cs="Times New Roman"/>
                <w:sz w:val="18"/>
                <w:szCs w:val="18"/>
                <w:lang w:val="fr-FR" w:eastAsia="fr-FR"/>
              </w:rPr>
              <w:br/>
            </w:r>
            <w:r w:rsidRPr="005F29BC">
              <w:rPr>
                <w:rFonts w:ascii="Verdana" w:eastAsia="Times New Roman" w:hAnsi="Verdana" w:cs="Times New Roman"/>
                <w:sz w:val="18"/>
                <w:szCs w:val="18"/>
                <w:lang w:val="fr-FR" w:eastAsia="fr-FR"/>
              </w:rPr>
              <w:lastRenderedPageBreak/>
              <w:t>- Animer des actions de formation et d'enseignement sous l'égide des organismes de tutelle.</w:t>
            </w:r>
            <w:r w:rsidRPr="005F29BC">
              <w:rPr>
                <w:rFonts w:ascii="Verdana" w:eastAsia="Times New Roman" w:hAnsi="Verdana" w:cs="Times New Roman"/>
                <w:sz w:val="18"/>
                <w:szCs w:val="18"/>
                <w:lang w:val="fr-FR" w:eastAsia="fr-FR"/>
              </w:rPr>
              <w:br/>
              <w:t>- Contribuer à la visibilité de la plateforme au sein des réseaux professionnels d'échange de savoirs et de savoir-faire.</w:t>
            </w:r>
          </w:p>
        </w:tc>
      </w:tr>
    </w:tbl>
    <w:p w:rsidR="005F29BC" w:rsidRPr="005F29BC" w:rsidRDefault="005F29BC" w:rsidP="005F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5F29BC">
        <w:rPr>
          <w:rFonts w:ascii="Times New Roman" w:eastAsia="Times New Roman" w:hAnsi="Times New Roman" w:cs="Times New Roman"/>
          <w:color w:val="000000"/>
          <w:sz w:val="27"/>
          <w:szCs w:val="27"/>
          <w:lang w:val="fr-FR" w:eastAsia="fr-FR"/>
        </w:rPr>
        <w:lastRenderedPageBreak/>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7"/>
        <w:gridCol w:w="6395"/>
      </w:tblGrid>
      <w:tr w:rsidR="005F29BC" w:rsidRPr="005F29BC" w:rsidTr="005F29BC">
        <w:trPr>
          <w:trHeight w:val="12"/>
          <w:tblCellSpacing w:w="15" w:type="dxa"/>
        </w:trPr>
        <w:tc>
          <w:tcPr>
            <w:tcW w:w="145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bookmarkStart w:id="2" w:name="competences"/>
            <w:r w:rsidRPr="005F29BC">
              <w:rPr>
                <w:rFonts w:ascii="Verdana" w:eastAsia="Times New Roman" w:hAnsi="Verdana" w:cs="Times New Roman"/>
                <w:b/>
                <w:bCs/>
                <w:sz w:val="18"/>
                <w:szCs w:val="18"/>
                <w:lang w:val="fr-FR" w:eastAsia="fr-FR"/>
              </w:rPr>
              <w:t>Compétences :</w:t>
            </w:r>
            <w:bookmarkEnd w:id="2"/>
          </w:p>
        </w:tc>
        <w:tc>
          <w:tcPr>
            <w:tcW w:w="35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 </w:t>
            </w:r>
          </w:p>
        </w:tc>
      </w:tr>
      <w:tr w:rsidR="005F29BC" w:rsidRPr="005F29BC" w:rsidTr="005F29BC">
        <w:trPr>
          <w:tblCellSpacing w:w="15" w:type="dxa"/>
        </w:trPr>
        <w:tc>
          <w:tcPr>
            <w:tcW w:w="0" w:type="auto"/>
            <w:gridSpan w:val="2"/>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Savoirs :</w:t>
            </w:r>
            <w:r w:rsidRPr="005F29BC">
              <w:rPr>
                <w:rFonts w:ascii="Verdana" w:eastAsia="Times New Roman" w:hAnsi="Verdana" w:cs="Times New Roman"/>
                <w:sz w:val="18"/>
                <w:szCs w:val="18"/>
                <w:lang w:val="fr-FR" w:eastAsia="fr-FR"/>
              </w:rPr>
              <w:br/>
              <w:t>- Solide connaissance théorique et pratique en cytométrie en flux (analyse et tri), et éventuellement en imagerie en flux ;</w:t>
            </w:r>
            <w:r w:rsidRPr="005F29BC">
              <w:rPr>
                <w:rFonts w:ascii="Verdana" w:eastAsia="Times New Roman" w:hAnsi="Verdana" w:cs="Times New Roman"/>
                <w:sz w:val="18"/>
                <w:szCs w:val="18"/>
                <w:lang w:val="fr-FR" w:eastAsia="fr-FR"/>
              </w:rPr>
              <w:br/>
              <w:t>- Bonne connaissance des sondes fluorescentes utilisées ;</w:t>
            </w:r>
            <w:r w:rsidRPr="005F29BC">
              <w:rPr>
                <w:rFonts w:ascii="Verdana" w:eastAsia="Times New Roman" w:hAnsi="Verdana" w:cs="Times New Roman"/>
                <w:sz w:val="18"/>
                <w:szCs w:val="18"/>
                <w:lang w:val="fr-FR" w:eastAsia="fr-FR"/>
              </w:rPr>
              <w:br/>
              <w:t>- Bonne connaissance des logiciels d'acquisition et d'analyse des données</w:t>
            </w:r>
            <w:r w:rsidRPr="005F29BC">
              <w:rPr>
                <w:rFonts w:ascii="Verdana" w:eastAsia="Times New Roman" w:hAnsi="Verdana" w:cs="Times New Roman"/>
                <w:sz w:val="18"/>
                <w:szCs w:val="18"/>
                <w:lang w:val="fr-FR" w:eastAsia="fr-FR"/>
              </w:rPr>
              <w:br/>
              <w:t>- Connaissances générales en biologie, notamment en biologie cellulaire et moléculaire ;</w:t>
            </w:r>
            <w:r w:rsidRPr="005F29BC">
              <w:rPr>
                <w:rFonts w:ascii="Verdana" w:eastAsia="Times New Roman" w:hAnsi="Verdana" w:cs="Times New Roman"/>
                <w:sz w:val="18"/>
                <w:szCs w:val="18"/>
                <w:lang w:val="fr-FR" w:eastAsia="fr-FR"/>
              </w:rPr>
              <w:br/>
              <w:t>- Anglais : compréhension écrite et orale niveau B2, Expression écrite et orale niveau B1 (cadre européen commun de référence pour les langues).</w:t>
            </w:r>
            <w:r w:rsidRPr="005F29BC">
              <w:rPr>
                <w:rFonts w:ascii="Verdana" w:eastAsia="Times New Roman" w:hAnsi="Verdana" w:cs="Times New Roman"/>
                <w:sz w:val="18"/>
                <w:szCs w:val="18"/>
                <w:lang w:val="fr-FR" w:eastAsia="fr-FR"/>
              </w:rPr>
              <w:br/>
            </w:r>
            <w:r w:rsidRPr="005F29BC">
              <w:rPr>
                <w:rFonts w:ascii="Verdana" w:eastAsia="Times New Roman" w:hAnsi="Verdana" w:cs="Times New Roman"/>
                <w:sz w:val="18"/>
                <w:szCs w:val="18"/>
                <w:lang w:val="fr-FR" w:eastAsia="fr-FR"/>
              </w:rPr>
              <w:br/>
              <w:t>Savoirs faire :</w:t>
            </w:r>
            <w:r w:rsidRPr="005F29BC">
              <w:rPr>
                <w:rFonts w:ascii="Verdana" w:eastAsia="Times New Roman" w:hAnsi="Verdana" w:cs="Times New Roman"/>
                <w:sz w:val="18"/>
                <w:szCs w:val="18"/>
                <w:lang w:val="fr-FR" w:eastAsia="fr-FR"/>
              </w:rPr>
              <w:br/>
              <w:t>- Expérience professionnelle avérée en analyse et tri, et maîtrise des concepts, des appareils et des utilisations en biologie fondamentale ;</w:t>
            </w:r>
            <w:r w:rsidRPr="005F29BC">
              <w:rPr>
                <w:rFonts w:ascii="Verdana" w:eastAsia="Times New Roman" w:hAnsi="Verdana" w:cs="Times New Roman"/>
                <w:sz w:val="18"/>
                <w:szCs w:val="18"/>
                <w:lang w:val="fr-FR" w:eastAsia="fr-FR"/>
              </w:rPr>
              <w:br/>
              <w:t>- Aptitude à l'encadrement et à la formation.</w:t>
            </w:r>
            <w:r w:rsidRPr="005F29BC">
              <w:rPr>
                <w:rFonts w:ascii="Verdana" w:eastAsia="Times New Roman" w:hAnsi="Verdana" w:cs="Times New Roman"/>
                <w:sz w:val="18"/>
                <w:szCs w:val="18"/>
                <w:lang w:val="fr-FR" w:eastAsia="fr-FR"/>
              </w:rPr>
              <w:br/>
            </w:r>
            <w:r w:rsidRPr="005F29BC">
              <w:rPr>
                <w:rFonts w:ascii="Verdana" w:eastAsia="Times New Roman" w:hAnsi="Verdana" w:cs="Times New Roman"/>
                <w:sz w:val="18"/>
                <w:szCs w:val="18"/>
                <w:lang w:val="fr-FR" w:eastAsia="fr-FR"/>
              </w:rPr>
              <w:br/>
              <w:t>Savoirs-être :</w:t>
            </w:r>
            <w:r w:rsidRPr="005F29BC">
              <w:rPr>
                <w:rFonts w:ascii="Verdana" w:eastAsia="Times New Roman" w:hAnsi="Verdana" w:cs="Times New Roman"/>
                <w:sz w:val="18"/>
                <w:szCs w:val="18"/>
                <w:lang w:val="fr-FR" w:eastAsia="fr-FR"/>
              </w:rPr>
              <w:br/>
              <w:t>- Aptitude à la communication ;</w:t>
            </w:r>
            <w:r w:rsidRPr="005F29BC">
              <w:rPr>
                <w:rFonts w:ascii="Verdana" w:eastAsia="Times New Roman" w:hAnsi="Verdana" w:cs="Times New Roman"/>
                <w:sz w:val="18"/>
                <w:szCs w:val="18"/>
                <w:lang w:val="fr-FR" w:eastAsia="fr-FR"/>
              </w:rPr>
              <w:br/>
              <w:t>- Aptitude à l'interaction avec les utilisateurs de la cytométrie ;</w:t>
            </w:r>
            <w:r w:rsidRPr="005F29BC">
              <w:rPr>
                <w:rFonts w:ascii="Verdana" w:eastAsia="Times New Roman" w:hAnsi="Verdana" w:cs="Times New Roman"/>
                <w:sz w:val="18"/>
                <w:szCs w:val="18"/>
                <w:lang w:val="fr-FR" w:eastAsia="fr-FR"/>
              </w:rPr>
              <w:br/>
              <w:t>- Aptitude à l'interaction avec les personnels de la plateforme spécialistes en microscopie et en analyse d'image</w:t>
            </w:r>
            <w:r w:rsidRPr="005F29BC">
              <w:rPr>
                <w:rFonts w:ascii="Verdana" w:eastAsia="Times New Roman" w:hAnsi="Verdana" w:cs="Times New Roman"/>
                <w:sz w:val="18"/>
                <w:szCs w:val="18"/>
                <w:lang w:val="fr-FR" w:eastAsia="fr-FR"/>
              </w:rPr>
              <w:br/>
              <w:t>- Gestion des priorités ;</w:t>
            </w:r>
            <w:r w:rsidRPr="005F29BC">
              <w:rPr>
                <w:rFonts w:ascii="Verdana" w:eastAsia="Times New Roman" w:hAnsi="Verdana" w:cs="Times New Roman"/>
                <w:sz w:val="18"/>
                <w:szCs w:val="18"/>
                <w:lang w:val="fr-FR" w:eastAsia="fr-FR"/>
              </w:rPr>
              <w:br/>
              <w:t>- Rigueur expérimentale.</w:t>
            </w:r>
          </w:p>
        </w:tc>
      </w:tr>
    </w:tbl>
    <w:p w:rsidR="005F29BC" w:rsidRPr="005F29BC" w:rsidRDefault="005F29BC" w:rsidP="005F29B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5F29BC">
        <w:rPr>
          <w:rFonts w:ascii="Times New Roman" w:eastAsia="Times New Roman" w:hAnsi="Times New Roman" w:cs="Times New Roman"/>
          <w:color w:val="000000"/>
          <w:sz w:val="27"/>
          <w:szCs w:val="27"/>
          <w:lang w:val="fr-FR" w:eastAsia="fr-F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7"/>
        <w:gridCol w:w="6395"/>
      </w:tblGrid>
      <w:tr w:rsidR="005F29BC" w:rsidRPr="005F29BC" w:rsidTr="005F29BC">
        <w:trPr>
          <w:trHeight w:val="12"/>
          <w:tblCellSpacing w:w="15" w:type="dxa"/>
        </w:trPr>
        <w:tc>
          <w:tcPr>
            <w:tcW w:w="145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bookmarkStart w:id="3" w:name="contexte"/>
            <w:r w:rsidRPr="005F29BC">
              <w:rPr>
                <w:rFonts w:ascii="Verdana" w:eastAsia="Times New Roman" w:hAnsi="Verdana" w:cs="Times New Roman"/>
                <w:b/>
                <w:bCs/>
                <w:sz w:val="18"/>
                <w:szCs w:val="18"/>
                <w:lang w:val="fr-FR" w:eastAsia="fr-FR"/>
              </w:rPr>
              <w:t>Contexte :</w:t>
            </w:r>
            <w:bookmarkEnd w:id="3"/>
          </w:p>
        </w:tc>
        <w:tc>
          <w:tcPr>
            <w:tcW w:w="3500" w:type="pct"/>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 </w:t>
            </w:r>
          </w:p>
        </w:tc>
      </w:tr>
      <w:tr w:rsidR="005F29BC" w:rsidRPr="005F29BC" w:rsidTr="005F29BC">
        <w:trPr>
          <w:tblCellSpacing w:w="15" w:type="dxa"/>
        </w:trPr>
        <w:tc>
          <w:tcPr>
            <w:tcW w:w="0" w:type="auto"/>
            <w:gridSpan w:val="2"/>
            <w:shd w:val="clear" w:color="auto" w:fill="FFFFFF"/>
            <w:vAlign w:val="center"/>
            <w:hideMark/>
          </w:tcPr>
          <w:p w:rsidR="005F29BC" w:rsidRPr="005F29BC" w:rsidRDefault="005F29BC" w:rsidP="005F29BC">
            <w:pPr>
              <w:spacing w:after="0" w:line="240" w:lineRule="auto"/>
              <w:rPr>
                <w:rFonts w:ascii="Verdana" w:eastAsia="Times New Roman" w:hAnsi="Verdana" w:cs="Times New Roman"/>
                <w:sz w:val="18"/>
                <w:szCs w:val="18"/>
                <w:lang w:val="fr-FR" w:eastAsia="fr-FR"/>
              </w:rPr>
            </w:pPr>
            <w:r w:rsidRPr="005F29BC">
              <w:rPr>
                <w:rFonts w:ascii="Verdana" w:eastAsia="Times New Roman" w:hAnsi="Verdana" w:cs="Times New Roman"/>
                <w:sz w:val="18"/>
                <w:szCs w:val="18"/>
                <w:lang w:val="fr-FR" w:eastAsia="fr-FR"/>
              </w:rPr>
              <w:t>Cadre de travail :</w:t>
            </w:r>
            <w:r w:rsidRPr="005F29BC">
              <w:rPr>
                <w:rFonts w:ascii="Verdana" w:eastAsia="Times New Roman" w:hAnsi="Verdana" w:cs="Times New Roman"/>
                <w:sz w:val="18"/>
                <w:szCs w:val="18"/>
                <w:lang w:val="fr-FR" w:eastAsia="fr-FR"/>
              </w:rPr>
              <w:br/>
              <w:t>L'activité s'exercera sur la plateforme ImagoSeine au sein de l'Institut Jacques Monod (http://www.ijm.fr), qui est une unité mixte de recherche CNRS / Université de Paris. L'IJM est hébergé dans un bâtiment situé dans le 13ème arrondissement de Paris et accessible par de nombreux moyens de transports (Métro 14, RER C, Tramway T3, bus 62 et 89...).</w:t>
            </w:r>
            <w:r w:rsidRPr="005F29BC">
              <w:rPr>
                <w:rFonts w:ascii="Verdana" w:eastAsia="Times New Roman" w:hAnsi="Verdana" w:cs="Times New Roman"/>
                <w:sz w:val="18"/>
                <w:szCs w:val="18"/>
                <w:lang w:val="fr-FR" w:eastAsia="fr-FR"/>
              </w:rPr>
              <w:br/>
              <w:t>ImagoSeine est la plateforme de service et de R&amp;D (Recherche &amp; Développement) en imagerie de l'Institut Jacques Monod (https://imagoseine.ijm.fr/676/accueil.htm). Elle réunit en un même lieu des ressources en cytométrie en flux, microscopie électronique et microscopie photonique. ImagoSeine est une plateforme labellisée IBisA, membre de l'infrastructure nationale des plateformes d'imagerie « France-BioImaging » et du réseau « Euro-BioImaging ».</w:t>
            </w:r>
            <w:r w:rsidRPr="005F29BC">
              <w:rPr>
                <w:rFonts w:ascii="Verdana" w:eastAsia="Times New Roman" w:hAnsi="Verdana" w:cs="Times New Roman"/>
                <w:sz w:val="18"/>
                <w:szCs w:val="18"/>
                <w:lang w:val="fr-FR" w:eastAsia="fr-FR"/>
              </w:rPr>
              <w:br/>
              <w:t>La plateforme Imagoseine est placée sous la responsabilité d¿un directeur de recherche CNRS, coordinateur des trois activités de la plateforme. L'ingénieur(e) sera placé(e) sous la responsablité hiérarchique du coordinateur de la plateforme.</w:t>
            </w:r>
            <w:r w:rsidRPr="005F29BC">
              <w:rPr>
                <w:rFonts w:ascii="Verdana" w:eastAsia="Times New Roman" w:hAnsi="Verdana" w:cs="Times New Roman"/>
                <w:sz w:val="18"/>
                <w:szCs w:val="18"/>
                <w:lang w:val="fr-FR" w:eastAsia="fr-FR"/>
              </w:rPr>
              <w:br/>
              <w:t>La plateforme propose et développe des prestations de haut niveau permettant la visualisation et l'analyse de la structure, de la dynamique, des interactions et des fonctions des échantillons biologiques.</w:t>
            </w:r>
            <w:r w:rsidRPr="005F29BC">
              <w:rPr>
                <w:rFonts w:ascii="Verdana" w:eastAsia="Times New Roman" w:hAnsi="Verdana" w:cs="Times New Roman"/>
                <w:sz w:val="18"/>
                <w:szCs w:val="18"/>
                <w:lang w:val="fr-FR" w:eastAsia="fr-FR"/>
              </w:rPr>
              <w:br/>
            </w:r>
            <w:r w:rsidRPr="005F29BC">
              <w:rPr>
                <w:rFonts w:ascii="Verdana" w:eastAsia="Times New Roman" w:hAnsi="Verdana" w:cs="Times New Roman"/>
                <w:sz w:val="18"/>
                <w:szCs w:val="18"/>
                <w:lang w:val="fr-FR" w:eastAsia="fr-FR"/>
              </w:rPr>
              <w:br/>
              <w:t>Contraintes et risques :</w:t>
            </w:r>
            <w:r w:rsidRPr="005F29BC">
              <w:rPr>
                <w:rFonts w:ascii="Verdana" w:eastAsia="Times New Roman" w:hAnsi="Verdana" w:cs="Times New Roman"/>
                <w:sz w:val="18"/>
                <w:szCs w:val="18"/>
                <w:lang w:val="fr-FR" w:eastAsia="fr-FR"/>
              </w:rPr>
              <w:br/>
              <w:t>L'activité de la plateforme est généralement soumise à des horaires de travail standards.</w:t>
            </w:r>
            <w:r w:rsidRPr="005F29BC">
              <w:rPr>
                <w:rFonts w:ascii="Verdana" w:eastAsia="Times New Roman" w:hAnsi="Verdana" w:cs="Times New Roman"/>
                <w:sz w:val="18"/>
                <w:szCs w:val="18"/>
                <w:lang w:val="fr-FR" w:eastAsia="fr-FR"/>
              </w:rPr>
              <w:br/>
              <w:t>Elle peut cependant nécessiter des contraintes d'horaires, d'organisation du temps de travail, de ponctualité liée aux contraintes de la réalisation technique des prestations.</w:t>
            </w:r>
          </w:p>
        </w:tc>
      </w:tr>
    </w:tbl>
    <w:p w:rsidR="00F61B0F" w:rsidRDefault="00F61B0F">
      <w:bookmarkStart w:id="4" w:name="_GoBack"/>
      <w:bookmarkEnd w:id="4"/>
    </w:p>
    <w:sectPr w:rsidR="00F61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BC"/>
    <w:rsid w:val="005F29BC"/>
    <w:rsid w:val="00F61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0A469-E679-4074-AFC8-02EC253A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René-Marc</dc:creator>
  <cp:keywords/>
  <dc:description/>
  <cp:lastModifiedBy>René-Marc</cp:lastModifiedBy>
  <cp:revision>1</cp:revision>
  <dcterms:created xsi:type="dcterms:W3CDTF">2020-06-04T16:47:00Z</dcterms:created>
  <dcterms:modified xsi:type="dcterms:W3CDTF">2020-06-04T16:47:00Z</dcterms:modified>
</cp:coreProperties>
</file>